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Вакантные места для приёма (перевода) обучающихся</w:t>
      </w:r>
    </w:p>
    <w:p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376"/>
        <w:gridCol w:w="237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детей раннего возраста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Группа компенсирующей направленности для детей с ТНР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3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</w:tbl>
    <w:p>
      <w:pPr>
        <w:rPr>
          <w:rFonts w:ascii="Times New Roman" w:hAnsi="Times New Roman" w:cs="Times New Roman"/>
          <w:b/>
          <w:sz w:val="36"/>
          <w:szCs w:val="36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B"/>
    <w:rsid w:val="00C4124B"/>
    <w:rsid w:val="00E1068D"/>
    <w:rsid w:val="0DC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14</TotalTime>
  <ScaleCrop>false</ScaleCrop>
  <LinksUpToDate>false</LinksUpToDate>
  <CharactersWithSpaces>214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2024-02-06T10:10:00Z</dcterms:created>
  <dc:creator>USER</dc:creator>
  <cp:lastModifiedBy>user</cp:lastModifiedBy>
  <dcterms:modified xsi:type="dcterms:W3CDTF">2024-10-24T04:16:31Z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6C5CDF3F38D54345BB5DBBB7B6A8688A_12</vt:lpwstr>
  </property>
</Properties>
</file>